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5B" w:rsidRDefault="00A0015B" w:rsidP="00A0015B">
      <w:pPr>
        <w:pStyle w:val="30"/>
        <w:spacing w:after="0"/>
      </w:pPr>
      <w:r>
        <w:t>КОНТРОЛЬНО-СЧЕТНАЯ ПАЛАТА</w:t>
      </w:r>
    </w:p>
    <w:p w:rsidR="00C27DCB" w:rsidRDefault="00A0015B" w:rsidP="00A0015B">
      <w:pPr>
        <w:pStyle w:val="30"/>
        <w:spacing w:after="0"/>
      </w:pPr>
      <w:r>
        <w:t>КРЕСТЕЦКОГО МУНИЦИПАЛЬНОГО ОКРУГА</w:t>
      </w:r>
    </w:p>
    <w:p w:rsidR="003F2252" w:rsidRDefault="003F2252" w:rsidP="00215A33">
      <w:pPr>
        <w:pStyle w:val="30"/>
        <w:spacing w:after="0"/>
      </w:pPr>
    </w:p>
    <w:p w:rsidR="003F2252" w:rsidRDefault="003F2252" w:rsidP="00215A33">
      <w:pPr>
        <w:pStyle w:val="30"/>
        <w:spacing w:after="0"/>
      </w:pPr>
    </w:p>
    <w:p w:rsidR="003F2252" w:rsidRDefault="003F2252" w:rsidP="00215A33">
      <w:pPr>
        <w:pStyle w:val="30"/>
        <w:spacing w:after="0"/>
      </w:pPr>
    </w:p>
    <w:p w:rsidR="003F2252" w:rsidRDefault="003F2252" w:rsidP="00215A33">
      <w:pPr>
        <w:pStyle w:val="30"/>
        <w:spacing w:after="0"/>
      </w:pPr>
    </w:p>
    <w:p w:rsidR="003F2252" w:rsidRDefault="003F2252" w:rsidP="00215A33">
      <w:pPr>
        <w:pStyle w:val="30"/>
        <w:spacing w:after="0"/>
      </w:pPr>
    </w:p>
    <w:p w:rsidR="003F2252" w:rsidRDefault="003F2252" w:rsidP="00215A33">
      <w:pPr>
        <w:pStyle w:val="30"/>
        <w:spacing w:after="0"/>
      </w:pPr>
    </w:p>
    <w:p w:rsidR="003F2252" w:rsidRDefault="003F2252" w:rsidP="00215A33">
      <w:pPr>
        <w:pStyle w:val="30"/>
        <w:spacing w:after="0"/>
      </w:pPr>
    </w:p>
    <w:p w:rsidR="003F2252" w:rsidRDefault="003F2252" w:rsidP="00215A33">
      <w:pPr>
        <w:pStyle w:val="30"/>
        <w:spacing w:after="0"/>
      </w:pPr>
    </w:p>
    <w:p w:rsidR="003F2252" w:rsidRDefault="0096159F" w:rsidP="0096159F">
      <w:pPr>
        <w:pStyle w:val="30"/>
        <w:spacing w:after="0"/>
      </w:pPr>
      <w:r>
        <w:t xml:space="preserve">Стандарт </w:t>
      </w:r>
      <w:r w:rsidR="00843F8A">
        <w:t>организации деятельности</w:t>
      </w:r>
      <w:r w:rsidR="00215A33">
        <w:t xml:space="preserve"> </w:t>
      </w:r>
    </w:p>
    <w:p w:rsidR="00215A33" w:rsidRDefault="00215A33" w:rsidP="00215A33">
      <w:pPr>
        <w:pStyle w:val="30"/>
        <w:spacing w:after="0"/>
      </w:pPr>
      <w:r>
        <w:t>«Формирование годового отчета»</w:t>
      </w:r>
    </w:p>
    <w:p w:rsidR="00215A33" w:rsidRDefault="00215A33" w:rsidP="00215A33">
      <w:pPr>
        <w:pStyle w:val="30"/>
        <w:spacing w:after="0"/>
        <w:rPr>
          <w:b w:val="0"/>
          <w:sz w:val="28"/>
          <w:szCs w:val="28"/>
        </w:rPr>
      </w:pPr>
    </w:p>
    <w:p w:rsidR="00C27DCB" w:rsidRPr="00215A33" w:rsidRDefault="00C27DCB" w:rsidP="00215A33">
      <w:pPr>
        <w:pStyle w:val="30"/>
        <w:spacing w:after="0"/>
        <w:rPr>
          <w:sz w:val="28"/>
          <w:szCs w:val="28"/>
        </w:rPr>
      </w:pPr>
    </w:p>
    <w:p w:rsidR="00215A33" w:rsidRDefault="00215A33">
      <w:pPr>
        <w:pStyle w:val="30"/>
        <w:spacing w:after="2940"/>
      </w:pPr>
    </w:p>
    <w:p w:rsidR="00215A33" w:rsidRDefault="00215A33">
      <w:pPr>
        <w:pStyle w:val="1"/>
        <w:ind w:firstLine="0"/>
        <w:jc w:val="center"/>
      </w:pPr>
    </w:p>
    <w:p w:rsidR="003F2252" w:rsidRDefault="003F2252">
      <w:pPr>
        <w:pStyle w:val="1"/>
        <w:ind w:firstLine="0"/>
        <w:jc w:val="center"/>
      </w:pPr>
    </w:p>
    <w:p w:rsidR="003F2252" w:rsidRDefault="003F2252">
      <w:pPr>
        <w:pStyle w:val="1"/>
        <w:ind w:firstLine="0"/>
        <w:jc w:val="center"/>
      </w:pPr>
    </w:p>
    <w:p w:rsidR="003F2252" w:rsidRDefault="003F2252">
      <w:pPr>
        <w:pStyle w:val="1"/>
        <w:ind w:firstLine="0"/>
        <w:jc w:val="center"/>
      </w:pPr>
    </w:p>
    <w:p w:rsidR="003F2252" w:rsidRDefault="003F2252">
      <w:pPr>
        <w:pStyle w:val="1"/>
        <w:ind w:firstLine="0"/>
        <w:jc w:val="center"/>
      </w:pPr>
    </w:p>
    <w:p w:rsidR="003F2252" w:rsidRDefault="003F2252">
      <w:pPr>
        <w:pStyle w:val="1"/>
        <w:ind w:firstLine="0"/>
        <w:jc w:val="center"/>
      </w:pPr>
    </w:p>
    <w:p w:rsidR="003F2252" w:rsidRDefault="003F2252">
      <w:pPr>
        <w:pStyle w:val="1"/>
        <w:ind w:firstLine="0"/>
        <w:jc w:val="center"/>
      </w:pPr>
    </w:p>
    <w:p w:rsidR="0096159F" w:rsidRDefault="0096159F">
      <w:pPr>
        <w:pStyle w:val="1"/>
        <w:ind w:firstLine="0"/>
        <w:jc w:val="center"/>
      </w:pPr>
    </w:p>
    <w:p w:rsidR="0096159F" w:rsidRDefault="0096159F">
      <w:pPr>
        <w:pStyle w:val="1"/>
        <w:ind w:firstLine="0"/>
        <w:jc w:val="center"/>
      </w:pPr>
    </w:p>
    <w:p w:rsidR="0096159F" w:rsidRDefault="0096159F">
      <w:pPr>
        <w:pStyle w:val="1"/>
        <w:ind w:firstLine="0"/>
        <w:jc w:val="center"/>
      </w:pPr>
    </w:p>
    <w:p w:rsidR="0096159F" w:rsidRDefault="0096159F">
      <w:pPr>
        <w:pStyle w:val="1"/>
        <w:ind w:firstLine="0"/>
        <w:jc w:val="center"/>
      </w:pPr>
    </w:p>
    <w:p w:rsidR="0096159F" w:rsidRDefault="0096159F" w:rsidP="0096159F">
      <w:pPr>
        <w:pStyle w:val="30"/>
        <w:spacing w:after="0"/>
        <w:jc w:val="right"/>
        <w:rPr>
          <w:b w:val="0"/>
          <w:sz w:val="28"/>
          <w:szCs w:val="28"/>
        </w:rPr>
      </w:pPr>
      <w:r>
        <w:t xml:space="preserve">                                                                </w:t>
      </w:r>
      <w:r>
        <w:rPr>
          <w:b w:val="0"/>
          <w:sz w:val="28"/>
          <w:szCs w:val="28"/>
        </w:rPr>
        <w:t>У</w:t>
      </w:r>
      <w:r w:rsidRPr="00215A33">
        <w:rPr>
          <w:b w:val="0"/>
          <w:sz w:val="28"/>
          <w:szCs w:val="28"/>
        </w:rPr>
        <w:t>тверждён</w:t>
      </w:r>
      <w:r>
        <w:rPr>
          <w:b w:val="0"/>
          <w:sz w:val="28"/>
          <w:szCs w:val="28"/>
        </w:rPr>
        <w:t xml:space="preserve"> приказом                     Контрольно-счетной палаты </w:t>
      </w:r>
    </w:p>
    <w:p w:rsidR="0096159F" w:rsidRDefault="0096159F" w:rsidP="0096159F">
      <w:pPr>
        <w:pStyle w:val="30"/>
        <w:spacing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Крестецкого муниципального округа</w:t>
      </w:r>
    </w:p>
    <w:p w:rsidR="0096159F" w:rsidRDefault="0096159F" w:rsidP="0096159F">
      <w:pPr>
        <w:pStyle w:val="30"/>
        <w:spacing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18.01.2024 № </w:t>
      </w:r>
      <w:r w:rsidR="002D3CCA">
        <w:rPr>
          <w:b w:val="0"/>
          <w:sz w:val="28"/>
          <w:szCs w:val="28"/>
        </w:rPr>
        <w:t>10</w:t>
      </w:r>
    </w:p>
    <w:p w:rsidR="0068289B" w:rsidRDefault="0068289B" w:rsidP="0096159F">
      <w:pPr>
        <w:pStyle w:val="30"/>
        <w:spacing w:after="0"/>
        <w:jc w:val="right"/>
        <w:rPr>
          <w:b w:val="0"/>
          <w:sz w:val="28"/>
          <w:szCs w:val="28"/>
        </w:rPr>
      </w:pPr>
    </w:p>
    <w:p w:rsidR="00C27DCB" w:rsidRDefault="0068289B">
      <w:pPr>
        <w:pStyle w:val="1"/>
        <w:ind w:firstLine="0"/>
        <w:jc w:val="center"/>
      </w:pPr>
      <w:r>
        <w:t>Действует с 01.01.2024</w:t>
      </w:r>
    </w:p>
    <w:p w:rsidR="003F2252" w:rsidRPr="00824DC4" w:rsidRDefault="003F2252" w:rsidP="003F2252">
      <w:pPr>
        <w:pStyle w:val="a6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F2252" w:rsidRPr="008E462F" w:rsidRDefault="003F2252" w:rsidP="003F2252">
      <w:pPr>
        <w:pStyle w:val="a6"/>
        <w:spacing w:line="288" w:lineRule="auto"/>
        <w:ind w:firstLine="720"/>
        <w:jc w:val="both"/>
        <w:rPr>
          <w:sz w:val="28"/>
          <w:szCs w:val="28"/>
        </w:rPr>
      </w:pPr>
    </w:p>
    <w:tbl>
      <w:tblPr>
        <w:tblW w:w="9913" w:type="dxa"/>
        <w:jc w:val="center"/>
        <w:tblInd w:w="190" w:type="dxa"/>
        <w:tblLayout w:type="fixed"/>
        <w:tblLook w:val="04A0"/>
      </w:tblPr>
      <w:tblGrid>
        <w:gridCol w:w="546"/>
        <w:gridCol w:w="8920"/>
        <w:gridCol w:w="447"/>
      </w:tblGrid>
      <w:tr w:rsidR="003F2252" w:rsidRPr="008E462F" w:rsidTr="00C157AB">
        <w:trPr>
          <w:trHeight w:val="648"/>
          <w:jc w:val="center"/>
        </w:trPr>
        <w:tc>
          <w:tcPr>
            <w:tcW w:w="546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 w:rsidRPr="008E462F">
              <w:rPr>
                <w:sz w:val="28"/>
                <w:szCs w:val="28"/>
              </w:rPr>
              <w:t>1.</w:t>
            </w:r>
          </w:p>
        </w:tc>
        <w:tc>
          <w:tcPr>
            <w:tcW w:w="8920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 w:rsidRPr="008E462F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447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 w:rsidRPr="008E462F">
              <w:rPr>
                <w:sz w:val="28"/>
                <w:szCs w:val="28"/>
              </w:rPr>
              <w:t>3</w:t>
            </w:r>
          </w:p>
        </w:tc>
      </w:tr>
      <w:tr w:rsidR="003F2252" w:rsidRPr="008E462F" w:rsidTr="00C157AB">
        <w:trPr>
          <w:trHeight w:val="713"/>
          <w:jc w:val="center"/>
        </w:trPr>
        <w:tc>
          <w:tcPr>
            <w:tcW w:w="546" w:type="dxa"/>
            <w:shd w:val="clear" w:color="auto" w:fill="auto"/>
          </w:tcPr>
          <w:p w:rsidR="003F2252" w:rsidRPr="008E462F" w:rsidRDefault="003F2252" w:rsidP="00C157AB">
            <w:pPr>
              <w:pStyle w:val="a6"/>
              <w:jc w:val="both"/>
              <w:rPr>
                <w:sz w:val="28"/>
                <w:szCs w:val="28"/>
              </w:rPr>
            </w:pPr>
            <w:r w:rsidRPr="008E462F">
              <w:rPr>
                <w:sz w:val="28"/>
                <w:szCs w:val="28"/>
              </w:rPr>
              <w:t>2.</w:t>
            </w:r>
          </w:p>
        </w:tc>
        <w:tc>
          <w:tcPr>
            <w:tcW w:w="8920" w:type="dxa"/>
            <w:shd w:val="clear" w:color="auto" w:fill="auto"/>
          </w:tcPr>
          <w:p w:rsidR="003F2252" w:rsidRPr="008E462F" w:rsidRDefault="003F2252" w:rsidP="003F225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цели, задачи</w:t>
            </w:r>
            <w:r w:rsidRPr="008E462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принципы формирования годового отчета </w:t>
            </w:r>
          </w:p>
        </w:tc>
        <w:tc>
          <w:tcPr>
            <w:tcW w:w="447" w:type="dxa"/>
            <w:shd w:val="clear" w:color="auto" w:fill="auto"/>
          </w:tcPr>
          <w:p w:rsidR="003F2252" w:rsidRPr="008E462F" w:rsidRDefault="003F2252" w:rsidP="00C157A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2252" w:rsidRPr="008E462F" w:rsidTr="00C157AB">
        <w:trPr>
          <w:trHeight w:val="694"/>
          <w:jc w:val="center"/>
        </w:trPr>
        <w:tc>
          <w:tcPr>
            <w:tcW w:w="546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 w:rsidRPr="008E462F">
              <w:rPr>
                <w:sz w:val="28"/>
                <w:szCs w:val="28"/>
              </w:rPr>
              <w:t>3.</w:t>
            </w:r>
          </w:p>
        </w:tc>
        <w:tc>
          <w:tcPr>
            <w:tcW w:w="8920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годового отчета</w:t>
            </w:r>
            <w:r w:rsidRPr="008E462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47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  <w:highlight w:val="yellow"/>
              </w:rPr>
            </w:pPr>
            <w:r w:rsidRPr="008E462F">
              <w:rPr>
                <w:sz w:val="28"/>
                <w:szCs w:val="28"/>
              </w:rPr>
              <w:t>6</w:t>
            </w:r>
          </w:p>
        </w:tc>
      </w:tr>
      <w:tr w:rsidR="003F2252" w:rsidRPr="008E462F" w:rsidTr="00C157AB">
        <w:trPr>
          <w:trHeight w:val="718"/>
          <w:jc w:val="center"/>
        </w:trPr>
        <w:tc>
          <w:tcPr>
            <w:tcW w:w="546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 w:rsidRPr="008E462F">
              <w:rPr>
                <w:sz w:val="28"/>
                <w:szCs w:val="28"/>
              </w:rPr>
              <w:t>4.</w:t>
            </w:r>
          </w:p>
        </w:tc>
        <w:tc>
          <w:tcPr>
            <w:tcW w:w="8920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к представлению документов и материалов для формирования годового отчета</w:t>
            </w:r>
          </w:p>
        </w:tc>
        <w:tc>
          <w:tcPr>
            <w:tcW w:w="447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F2252" w:rsidRPr="008E462F" w:rsidTr="00C157AB">
        <w:trPr>
          <w:trHeight w:val="718"/>
          <w:jc w:val="center"/>
        </w:trPr>
        <w:tc>
          <w:tcPr>
            <w:tcW w:w="546" w:type="dxa"/>
            <w:shd w:val="clear" w:color="auto" w:fill="auto"/>
          </w:tcPr>
          <w:p w:rsidR="003F2252" w:rsidRPr="008E462F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920" w:type="dxa"/>
            <w:shd w:val="clear" w:color="auto" w:fill="auto"/>
          </w:tcPr>
          <w:p w:rsidR="003F2252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подготовки, утверждения и опубликования годового отчета</w:t>
            </w:r>
          </w:p>
        </w:tc>
        <w:tc>
          <w:tcPr>
            <w:tcW w:w="447" w:type="dxa"/>
            <w:shd w:val="clear" w:color="auto" w:fill="auto"/>
          </w:tcPr>
          <w:p w:rsidR="003F2252" w:rsidRDefault="003F2252" w:rsidP="00C157AB">
            <w:pPr>
              <w:pStyle w:val="a6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27DCB" w:rsidRDefault="00C27DCB">
      <w:pPr>
        <w:pStyle w:val="a5"/>
        <w:tabs>
          <w:tab w:val="right" w:leader="dot" w:pos="9788"/>
        </w:tabs>
        <w:spacing w:after="160"/>
        <w:jc w:val="both"/>
        <w:sectPr w:rsidR="00C27DCB" w:rsidSect="0096159F">
          <w:headerReference w:type="default" r:id="rId8"/>
          <w:headerReference w:type="first" r:id="rId9"/>
          <w:pgSz w:w="11900" w:h="16840"/>
          <w:pgMar w:top="1383" w:right="1127" w:bottom="1345" w:left="1386" w:header="0" w:footer="3" w:gutter="0"/>
          <w:pgNumType w:start="1"/>
          <w:cols w:space="720"/>
          <w:noEndnote/>
          <w:titlePg/>
          <w:docGrid w:linePitch="360"/>
        </w:sectPr>
      </w:pPr>
    </w:p>
    <w:p w:rsidR="00C27DCB" w:rsidRDefault="00960EAC">
      <w:pPr>
        <w:pStyle w:val="11"/>
        <w:keepNext/>
        <w:keepLines/>
        <w:numPr>
          <w:ilvl w:val="0"/>
          <w:numId w:val="2"/>
        </w:numPr>
        <w:tabs>
          <w:tab w:val="left" w:pos="340"/>
        </w:tabs>
      </w:pPr>
      <w:bookmarkStart w:id="0" w:name="bookmark2"/>
      <w:r>
        <w:lastRenderedPageBreak/>
        <w:t>Общие положения</w:t>
      </w:r>
      <w:bookmarkEnd w:id="0"/>
    </w:p>
    <w:p w:rsidR="002B17FD" w:rsidRDefault="007372F1" w:rsidP="002B17FD">
      <w:pPr>
        <w:pStyle w:val="1"/>
        <w:numPr>
          <w:ilvl w:val="1"/>
          <w:numId w:val="2"/>
        </w:numPr>
        <w:tabs>
          <w:tab w:val="left" w:pos="1416"/>
          <w:tab w:val="left" w:pos="2145"/>
          <w:tab w:val="left" w:pos="4205"/>
        </w:tabs>
        <w:ind w:firstLine="740"/>
        <w:jc w:val="both"/>
      </w:pPr>
      <w:r>
        <w:t>Стандарт</w:t>
      </w:r>
      <w:r w:rsidR="00843F8A">
        <w:t xml:space="preserve"> организации деятельности</w:t>
      </w:r>
      <w:r w:rsidR="00960EAC">
        <w:t xml:space="preserve"> «</w:t>
      </w:r>
      <w:r w:rsidR="002B17FD">
        <w:t>Формирование годового отчета</w:t>
      </w:r>
      <w:r w:rsidR="00960EAC">
        <w:t>»</w:t>
      </w:r>
      <w:r w:rsidR="00960EAC">
        <w:tab/>
        <w:t>(далее - Стандарт) разработан для</w:t>
      </w:r>
      <w:r w:rsidR="002B17FD">
        <w:t xml:space="preserve"> </w:t>
      </w:r>
      <w:r w:rsidR="00960EAC">
        <w:t xml:space="preserve">методологического обеспечения осуществления </w:t>
      </w:r>
      <w:r>
        <w:t>Контрольно-счетной палато</w:t>
      </w:r>
      <w:r w:rsidR="002B17FD">
        <w:t xml:space="preserve">й </w:t>
      </w:r>
      <w:r>
        <w:t>Крестецкого муниципального округ</w:t>
      </w:r>
      <w:r w:rsidR="002B17FD">
        <w:t>а</w:t>
      </w:r>
      <w:r w:rsidR="00960EAC">
        <w:t xml:space="preserve"> (далее - </w:t>
      </w:r>
      <w:r>
        <w:t>КС</w:t>
      </w:r>
      <w:r w:rsidR="00BC3899">
        <w:t>О</w:t>
      </w:r>
      <w:r w:rsidR="00960EAC">
        <w:t xml:space="preserve">) </w:t>
      </w:r>
      <w:r w:rsidR="002B17FD">
        <w:t>подготовки и утверждения годового отчета о деятельности КС</w:t>
      </w:r>
      <w:r w:rsidR="00BC3899">
        <w:t>О</w:t>
      </w:r>
      <w:r w:rsidR="00960EAC">
        <w:t>.</w:t>
      </w:r>
    </w:p>
    <w:p w:rsidR="00C27DCB" w:rsidRDefault="00960EAC" w:rsidP="002B17FD">
      <w:pPr>
        <w:pStyle w:val="1"/>
        <w:numPr>
          <w:ilvl w:val="1"/>
          <w:numId w:val="2"/>
        </w:numPr>
        <w:tabs>
          <w:tab w:val="left" w:pos="1416"/>
          <w:tab w:val="left" w:pos="2145"/>
          <w:tab w:val="left" w:pos="4205"/>
        </w:tabs>
        <w:ind w:firstLine="740"/>
        <w:jc w:val="both"/>
      </w:pPr>
      <w:r>
        <w:t>Правовыми основаниями разработки Стандарта являются:</w:t>
      </w:r>
    </w:p>
    <w:p w:rsidR="00C27DCB" w:rsidRDefault="00960EAC">
      <w:pPr>
        <w:pStyle w:val="1"/>
        <w:ind w:firstLine="740"/>
        <w:jc w:val="both"/>
      </w:pPr>
      <w:r>
        <w:t>Бюджетный кодекс Российской Федерации;</w:t>
      </w:r>
    </w:p>
    <w:p w:rsidR="00C27DCB" w:rsidRDefault="00960EAC">
      <w:pPr>
        <w:pStyle w:val="1"/>
        <w:ind w:firstLine="740"/>
        <w:jc w:val="both"/>
      </w:pPr>
      <w: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B311AE">
        <w:t>, федеральных территорий</w:t>
      </w:r>
      <w:r>
        <w:t xml:space="preserve"> и муниципальных образований»;</w:t>
      </w:r>
    </w:p>
    <w:p w:rsidR="00C27DCB" w:rsidRDefault="002B17FD" w:rsidP="002B17FD">
      <w:pPr>
        <w:pStyle w:val="1"/>
        <w:ind w:firstLine="708"/>
        <w:jc w:val="both"/>
      </w:pPr>
      <w:r>
        <w:t xml:space="preserve">Решение Думы </w:t>
      </w:r>
      <w:r w:rsidR="007372F1">
        <w:t>Крестецкого муниципального округ</w:t>
      </w:r>
      <w:r>
        <w:t>а от 2</w:t>
      </w:r>
      <w:r w:rsidR="007372F1">
        <w:t>1 но</w:t>
      </w:r>
      <w:r>
        <w:t>ября 202</w:t>
      </w:r>
      <w:r w:rsidR="007372F1">
        <w:t>3 года № 44 «О Контрольно-счетной палате</w:t>
      </w:r>
      <w:r>
        <w:t xml:space="preserve"> Крестецкого </w:t>
      </w:r>
      <w:r w:rsidR="007372F1">
        <w:t>муниципального округа</w:t>
      </w:r>
      <w:r>
        <w:t>»</w:t>
      </w:r>
      <w:r w:rsidR="00D313B6">
        <w:t xml:space="preserve"> (далее – решение Думы округа </w:t>
      </w:r>
      <w:r w:rsidR="007372F1">
        <w:t>о КС</w:t>
      </w:r>
      <w:r w:rsidR="00AD0BB9">
        <w:t>О</w:t>
      </w:r>
      <w:r w:rsidR="0093699F">
        <w:t>)</w:t>
      </w:r>
      <w:r w:rsidR="00960EAC">
        <w:t>;</w:t>
      </w:r>
    </w:p>
    <w:p w:rsidR="00C27DCB" w:rsidRDefault="00960EAC">
      <w:pPr>
        <w:pStyle w:val="1"/>
        <w:ind w:firstLine="740"/>
        <w:jc w:val="both"/>
      </w:pPr>
      <w:r>
        <w:t xml:space="preserve">Регламент </w:t>
      </w:r>
      <w:r w:rsidR="007372F1">
        <w:t>Контрольно-счетной палаты</w:t>
      </w:r>
      <w:r w:rsidR="002B17FD">
        <w:t xml:space="preserve"> </w:t>
      </w:r>
      <w:r w:rsidR="007372F1">
        <w:t>Крестецкого муниципального округа, утвержденный приказом КСП</w:t>
      </w:r>
      <w:r w:rsidR="002D3CCA">
        <w:t xml:space="preserve"> от 18 января 2024 года № 8</w:t>
      </w:r>
      <w:r>
        <w:t xml:space="preserve"> (далее - Регламент </w:t>
      </w:r>
      <w:r w:rsidR="002D3CCA">
        <w:t>КС</w:t>
      </w:r>
      <w:r w:rsidR="000A039D">
        <w:t>О</w:t>
      </w:r>
      <w:r>
        <w:t>);</w:t>
      </w:r>
    </w:p>
    <w:p w:rsidR="00C27DCB" w:rsidRDefault="00960EAC">
      <w:pPr>
        <w:pStyle w:val="1"/>
        <w:ind w:firstLine="740"/>
        <w:jc w:val="both"/>
      </w:pPr>
      <w:r>
        <w:t>Общие требования к стандартам внешнего государственного и муниципального аудита (контроля) для проведения контрольных и экспертно</w:t>
      </w:r>
      <w:r>
        <w:softHyphen/>
        <w:t>аналитических мероприятий контрольно-счетными органами субъектов Российской Федерации и муниципальных образований, утвержденные постановлением Коллегии Счетной палаты Российской Федерации от 29 марта 2022 года № 2ПК.</w:t>
      </w:r>
    </w:p>
    <w:p w:rsidR="009A4911" w:rsidRDefault="00960EAC" w:rsidP="009A4911">
      <w:pPr>
        <w:pStyle w:val="1"/>
        <w:numPr>
          <w:ilvl w:val="1"/>
          <w:numId w:val="2"/>
        </w:numPr>
        <w:tabs>
          <w:tab w:val="left" w:pos="1416"/>
        </w:tabs>
        <w:ind w:firstLine="740"/>
        <w:jc w:val="both"/>
      </w:pPr>
      <w:r>
        <w:t>Целью Стандарта является установление</w:t>
      </w:r>
      <w:r w:rsidR="009A4911">
        <w:t xml:space="preserve"> порядка и </w:t>
      </w:r>
      <w:r>
        <w:t xml:space="preserve">общих правил </w:t>
      </w:r>
      <w:r w:rsidR="009A4911">
        <w:t>подг</w:t>
      </w:r>
      <w:r w:rsidR="002D3CCA">
        <w:t>отовки отчета и деятельности КС</w:t>
      </w:r>
      <w:r w:rsidR="00AD0BB9">
        <w:t>О</w:t>
      </w:r>
      <w:r w:rsidR="009A4911">
        <w:t xml:space="preserve"> за год, обобщение и систематиза</w:t>
      </w:r>
      <w:r w:rsidR="002D3CCA">
        <w:t>ция результатов деятельности КС</w:t>
      </w:r>
      <w:r w:rsidR="00AD0BB9">
        <w:t>О</w:t>
      </w:r>
      <w:r w:rsidR="009A4911">
        <w:t xml:space="preserve"> по проведения внешнего муниципального финансового контроля за отчетный финансовый год</w:t>
      </w:r>
      <w:r>
        <w:t>.</w:t>
      </w:r>
    </w:p>
    <w:p w:rsidR="00C27DCB" w:rsidRDefault="00960EAC" w:rsidP="009A4911">
      <w:pPr>
        <w:pStyle w:val="1"/>
        <w:numPr>
          <w:ilvl w:val="1"/>
          <w:numId w:val="2"/>
        </w:numPr>
        <w:tabs>
          <w:tab w:val="left" w:pos="1416"/>
        </w:tabs>
        <w:ind w:firstLine="740"/>
        <w:jc w:val="both"/>
      </w:pPr>
      <w:r>
        <w:t>Задачами Стандарта являются:</w:t>
      </w:r>
    </w:p>
    <w:p w:rsidR="00C05E60" w:rsidRDefault="00960EAC">
      <w:pPr>
        <w:pStyle w:val="1"/>
        <w:ind w:firstLine="740"/>
        <w:jc w:val="both"/>
      </w:pPr>
      <w:r>
        <w:t xml:space="preserve">определение </w:t>
      </w:r>
      <w:r w:rsidR="00C05E60">
        <w:t>структуры годового отчет</w:t>
      </w:r>
      <w:r w:rsidR="009D0D05">
        <w:t>а</w:t>
      </w:r>
      <w:r w:rsidR="00C05E60">
        <w:t>;</w:t>
      </w:r>
    </w:p>
    <w:p w:rsidR="00C27DCB" w:rsidRDefault="00C05E60" w:rsidP="00C05E60">
      <w:pPr>
        <w:pStyle w:val="1"/>
        <w:ind w:firstLine="708"/>
        <w:jc w:val="both"/>
      </w:pPr>
      <w:r>
        <w:t>установление общих требований к представлению документов и материалов для формирования годового отчета</w:t>
      </w:r>
      <w:r w:rsidR="00960EAC">
        <w:t>;</w:t>
      </w:r>
    </w:p>
    <w:p w:rsidR="00C27DCB" w:rsidRDefault="00960EAC">
      <w:pPr>
        <w:pStyle w:val="1"/>
        <w:ind w:firstLine="720"/>
        <w:jc w:val="both"/>
      </w:pPr>
      <w:r>
        <w:t xml:space="preserve">определение порядка </w:t>
      </w:r>
      <w:r w:rsidR="00C05E60">
        <w:t>подготовки и утверждения годового отчета</w:t>
      </w:r>
      <w:r>
        <w:t>.</w:t>
      </w:r>
    </w:p>
    <w:p w:rsidR="00C27DCB" w:rsidRDefault="00960EAC">
      <w:pPr>
        <w:pStyle w:val="1"/>
        <w:numPr>
          <w:ilvl w:val="1"/>
          <w:numId w:val="2"/>
        </w:numPr>
        <w:tabs>
          <w:tab w:val="left" w:pos="1416"/>
        </w:tabs>
        <w:ind w:firstLine="720"/>
        <w:jc w:val="both"/>
      </w:pPr>
      <w:r>
        <w:t xml:space="preserve">При организации и осуществлении </w:t>
      </w:r>
      <w:r w:rsidR="00C05E60">
        <w:t>формирования годового отчета</w:t>
      </w:r>
      <w:r>
        <w:t xml:space="preserve"> сотрудники </w:t>
      </w:r>
      <w:r w:rsidR="002D3CCA">
        <w:t>КС</w:t>
      </w:r>
      <w:r w:rsidR="00AD0BB9">
        <w:t>О</w:t>
      </w:r>
      <w:r>
        <w:t xml:space="preserve"> обязаны руководствоваться Конституцией Российской Федерации, бюджетным законодательством, </w:t>
      </w:r>
      <w:r w:rsidR="00D313B6">
        <w:t>решением Думы округа</w:t>
      </w:r>
      <w:r w:rsidR="002D3CCA">
        <w:t xml:space="preserve"> о КС</w:t>
      </w:r>
      <w:r w:rsidR="000A039D">
        <w:t>О</w:t>
      </w:r>
      <w:r>
        <w:t>, другими нормативными правовыми актами Российской Федерации и Новгородской области,</w:t>
      </w:r>
      <w:r w:rsidR="0093699F">
        <w:t xml:space="preserve"> муниципальными правовыми актами представительного органа </w:t>
      </w:r>
      <w:r w:rsidR="009D0D05">
        <w:t>Крестецкого муниципального округа</w:t>
      </w:r>
      <w:r w:rsidR="0093699F">
        <w:t xml:space="preserve"> и Администрации </w:t>
      </w:r>
      <w:r w:rsidR="002D3CCA">
        <w:t>Крестецкого муниципального округ</w:t>
      </w:r>
      <w:r w:rsidR="0093699F">
        <w:t>а,</w:t>
      </w:r>
      <w:r>
        <w:t xml:space="preserve"> а также Регламентом </w:t>
      </w:r>
      <w:r w:rsidR="0093699F">
        <w:t>КСО</w:t>
      </w:r>
      <w:r>
        <w:t xml:space="preserve">, приказами, иными нормативными документами </w:t>
      </w:r>
      <w:r w:rsidR="0093699F">
        <w:t>КСО</w:t>
      </w:r>
      <w:r>
        <w:t xml:space="preserve"> и Стандартом.</w:t>
      </w:r>
    </w:p>
    <w:p w:rsidR="00C27DCB" w:rsidRDefault="00960EAC">
      <w:pPr>
        <w:pStyle w:val="1"/>
        <w:numPr>
          <w:ilvl w:val="1"/>
          <w:numId w:val="2"/>
        </w:numPr>
        <w:tabs>
          <w:tab w:val="left" w:pos="1416"/>
        </w:tabs>
        <w:ind w:firstLine="720"/>
        <w:jc w:val="both"/>
      </w:pPr>
      <w:r>
        <w:t>Внесение изменений</w:t>
      </w:r>
      <w:r w:rsidR="0093699F">
        <w:t xml:space="preserve"> и дополнений</w:t>
      </w:r>
      <w:r>
        <w:t xml:space="preserve"> в настоящий Стандарт осуществляется на основании </w:t>
      </w:r>
      <w:r w:rsidR="0093699F">
        <w:t>приказа председателя КСО</w:t>
      </w:r>
      <w:r>
        <w:t xml:space="preserve">. Решение вопросов, не урегулированных настоящим Стандартом, осуществляется председателем </w:t>
      </w:r>
      <w:r w:rsidR="0093699F">
        <w:t>КСО</w:t>
      </w:r>
      <w:r>
        <w:t xml:space="preserve"> </w:t>
      </w:r>
      <w:r>
        <w:lastRenderedPageBreak/>
        <w:t xml:space="preserve">по представлению должностных лиц </w:t>
      </w:r>
      <w:r w:rsidR="0093699F">
        <w:t>КСО</w:t>
      </w:r>
      <w:r>
        <w:t>.</w:t>
      </w:r>
    </w:p>
    <w:p w:rsidR="001533C8" w:rsidRDefault="001533C8" w:rsidP="001533C8">
      <w:pPr>
        <w:pStyle w:val="1"/>
        <w:tabs>
          <w:tab w:val="left" w:pos="1416"/>
        </w:tabs>
        <w:ind w:left="720" w:firstLine="0"/>
        <w:jc w:val="both"/>
      </w:pPr>
    </w:p>
    <w:p w:rsidR="00C27DCB" w:rsidRDefault="00960EAC">
      <w:pPr>
        <w:pStyle w:val="11"/>
        <w:keepNext/>
        <w:keepLines/>
        <w:numPr>
          <w:ilvl w:val="0"/>
          <w:numId w:val="2"/>
        </w:numPr>
        <w:tabs>
          <w:tab w:val="left" w:pos="327"/>
        </w:tabs>
      </w:pPr>
      <w:bookmarkStart w:id="1" w:name="bookmark4"/>
      <w:r>
        <w:t>Содержание</w:t>
      </w:r>
      <w:r w:rsidR="001533C8">
        <w:t>,</w:t>
      </w:r>
      <w:r>
        <w:t xml:space="preserve"> </w:t>
      </w:r>
      <w:bookmarkEnd w:id="1"/>
      <w:r w:rsidR="001533C8">
        <w:t>цели, задачи и принципы формирования годового отчета</w:t>
      </w:r>
    </w:p>
    <w:p w:rsidR="00CD17FA" w:rsidRDefault="00CD17FA" w:rsidP="001533C8">
      <w:pPr>
        <w:pStyle w:val="1"/>
        <w:numPr>
          <w:ilvl w:val="1"/>
          <w:numId w:val="2"/>
        </w:numPr>
        <w:tabs>
          <w:tab w:val="left" w:pos="1086"/>
        </w:tabs>
        <w:ind w:firstLine="580"/>
        <w:jc w:val="both"/>
      </w:pPr>
      <w:r>
        <w:t xml:space="preserve">Подготовка годового отчета организуется председателем КСО. </w:t>
      </w:r>
    </w:p>
    <w:p w:rsidR="00C27DCB" w:rsidRDefault="00960EAC" w:rsidP="001533C8">
      <w:pPr>
        <w:pStyle w:val="1"/>
        <w:numPr>
          <w:ilvl w:val="1"/>
          <w:numId w:val="2"/>
        </w:numPr>
        <w:tabs>
          <w:tab w:val="left" w:pos="1086"/>
        </w:tabs>
        <w:ind w:firstLine="580"/>
        <w:jc w:val="both"/>
      </w:pPr>
      <w:r>
        <w:t xml:space="preserve">Под </w:t>
      </w:r>
      <w:r w:rsidR="001533C8">
        <w:t>формированием годового отчета о деятельности КСО</w:t>
      </w:r>
      <w:r>
        <w:t xml:space="preserve"> </w:t>
      </w:r>
      <w:r w:rsidR="00CD17FA">
        <w:t>понимае</w:t>
      </w:r>
      <w:r>
        <w:t xml:space="preserve">тся </w:t>
      </w:r>
      <w:r w:rsidR="001533C8">
        <w:t>обобщение итогов работы КСО за отчетный финансовый год для внутреннего анализа по совершенствованию деятельности КСО</w:t>
      </w:r>
      <w:r>
        <w:t>.</w:t>
      </w:r>
    </w:p>
    <w:p w:rsidR="00C27DCB" w:rsidRDefault="00960EAC">
      <w:pPr>
        <w:pStyle w:val="1"/>
        <w:ind w:firstLine="740"/>
        <w:jc w:val="both"/>
      </w:pPr>
      <w:r>
        <w:t xml:space="preserve">Целью </w:t>
      </w:r>
      <w:r w:rsidR="001533C8">
        <w:t xml:space="preserve">формирования годового отчета </w:t>
      </w:r>
      <w:r w:rsidR="00863EE5">
        <w:t xml:space="preserve">является систематизация результатов деятельности КСО по проведению внешнего муниципального финансового контроля за отчетный период для </w:t>
      </w:r>
      <w:r w:rsidR="001533C8">
        <w:t>обеспечени</w:t>
      </w:r>
      <w:r w:rsidR="00863EE5">
        <w:t>я доступности,</w:t>
      </w:r>
      <w:r w:rsidR="001533C8">
        <w:t xml:space="preserve"> гласности и открытости деятельности КСО</w:t>
      </w:r>
      <w:r>
        <w:t>.</w:t>
      </w:r>
    </w:p>
    <w:p w:rsidR="00863EE5" w:rsidRDefault="001533C8" w:rsidP="00863EE5">
      <w:pPr>
        <w:pStyle w:val="1"/>
        <w:numPr>
          <w:ilvl w:val="1"/>
          <w:numId w:val="2"/>
        </w:numPr>
        <w:ind w:firstLine="740"/>
        <w:jc w:val="both"/>
      </w:pPr>
      <w:r>
        <w:t xml:space="preserve">Формирование годового отчета основывается на принципах </w:t>
      </w:r>
      <w:r w:rsidR="00863EE5">
        <w:t>законно</w:t>
      </w:r>
      <w:r>
        <w:t>сти, объективности, полноты отражения результатов выполнения запланированных и внеплановых мероприятий, своевременности, независимости и гласности.</w:t>
      </w:r>
      <w:r w:rsidR="00863EE5" w:rsidRPr="00863EE5">
        <w:t xml:space="preserve"> </w:t>
      </w:r>
    </w:p>
    <w:p w:rsidR="00924D56" w:rsidRDefault="00924D56" w:rsidP="00863EE5">
      <w:pPr>
        <w:pStyle w:val="1"/>
        <w:numPr>
          <w:ilvl w:val="1"/>
          <w:numId w:val="2"/>
        </w:numPr>
        <w:ind w:firstLine="740"/>
        <w:jc w:val="both"/>
      </w:pPr>
      <w:r>
        <w:t>Основными задачами формирования годового отчета</w:t>
      </w:r>
      <w:r w:rsidRPr="00924D56">
        <w:t xml:space="preserve"> </w:t>
      </w:r>
      <w:r>
        <w:t>является:</w:t>
      </w:r>
    </w:p>
    <w:p w:rsidR="00924D56" w:rsidRDefault="00924D56" w:rsidP="00924D56">
      <w:pPr>
        <w:pStyle w:val="1"/>
        <w:ind w:firstLine="708"/>
        <w:jc w:val="both"/>
      </w:pPr>
      <w:r>
        <w:t xml:space="preserve">обобщение и анализ проведенных контрольных и экспертно-аналитических мероприятий; </w:t>
      </w:r>
    </w:p>
    <w:p w:rsidR="00924D56" w:rsidRDefault="00924D56" w:rsidP="00924D56">
      <w:pPr>
        <w:pStyle w:val="1"/>
        <w:ind w:firstLine="708"/>
        <w:jc w:val="both"/>
      </w:pPr>
      <w:r>
        <w:t xml:space="preserve">анализ мер, принимаемых по результатам контрольных и экспертно-аналитических мероприятий; </w:t>
      </w:r>
    </w:p>
    <w:p w:rsidR="00924D56" w:rsidRDefault="00924D56" w:rsidP="00924D56">
      <w:pPr>
        <w:pStyle w:val="1"/>
        <w:ind w:firstLine="708"/>
        <w:jc w:val="both"/>
      </w:pPr>
      <w:r>
        <w:t>информирование общественности о деятельности КСО.</w:t>
      </w:r>
    </w:p>
    <w:p w:rsidR="00C27DCB" w:rsidRDefault="00BD5A70">
      <w:pPr>
        <w:pStyle w:val="1"/>
        <w:numPr>
          <w:ilvl w:val="1"/>
          <w:numId w:val="2"/>
        </w:numPr>
        <w:tabs>
          <w:tab w:val="left" w:pos="1358"/>
        </w:tabs>
        <w:spacing w:after="320"/>
        <w:ind w:firstLine="740"/>
        <w:jc w:val="both"/>
      </w:pPr>
      <w:r>
        <w:t>Годовые отчеты о деятельности КСО</w:t>
      </w:r>
      <w:r w:rsidR="00960EAC">
        <w:t xml:space="preserve"> включаются в состав дел постоянного хране</w:t>
      </w:r>
      <w:r>
        <w:t xml:space="preserve">ния </w:t>
      </w:r>
      <w:r w:rsidR="00960EAC">
        <w:t>в установленном порядке.</w:t>
      </w:r>
    </w:p>
    <w:p w:rsidR="00C27DCB" w:rsidRDefault="000B2247">
      <w:pPr>
        <w:pStyle w:val="1"/>
        <w:numPr>
          <w:ilvl w:val="0"/>
          <w:numId w:val="2"/>
        </w:numPr>
        <w:tabs>
          <w:tab w:val="left" w:pos="329"/>
        </w:tabs>
        <w:spacing w:after="160"/>
        <w:ind w:firstLine="0"/>
        <w:jc w:val="center"/>
      </w:pPr>
      <w:r>
        <w:rPr>
          <w:b/>
          <w:bCs/>
        </w:rPr>
        <w:t>Структура годового отчета</w:t>
      </w:r>
    </w:p>
    <w:p w:rsidR="00C27DCB" w:rsidRDefault="007372F1">
      <w:pPr>
        <w:pStyle w:val="1"/>
        <w:numPr>
          <w:ilvl w:val="1"/>
          <w:numId w:val="2"/>
        </w:numPr>
        <w:tabs>
          <w:tab w:val="left" w:pos="1331"/>
        </w:tabs>
        <w:ind w:firstLine="740"/>
        <w:jc w:val="both"/>
      </w:pPr>
      <w:r>
        <w:t>Годовой отчет о деятельности КС</w:t>
      </w:r>
      <w:r w:rsidR="000A039D">
        <w:t>О</w:t>
      </w:r>
      <w:r w:rsidR="00B22D8F">
        <w:t xml:space="preserve"> за отчетный финансовый год</w:t>
      </w:r>
      <w:r w:rsidR="0022766F">
        <w:t xml:space="preserve"> составляется в текстово</w:t>
      </w:r>
      <w:r w:rsidR="003A1998">
        <w:t>м</w:t>
      </w:r>
      <w:r w:rsidR="0022766F">
        <w:t xml:space="preserve"> форм</w:t>
      </w:r>
      <w:r w:rsidR="003A1998">
        <w:t>ате</w:t>
      </w:r>
      <w:r w:rsidR="00960EAC">
        <w:t>.</w:t>
      </w:r>
    </w:p>
    <w:p w:rsidR="0022766F" w:rsidRDefault="0022766F" w:rsidP="0022766F">
      <w:pPr>
        <w:pStyle w:val="1"/>
        <w:tabs>
          <w:tab w:val="left" w:pos="1331"/>
        </w:tabs>
        <w:ind w:firstLine="740"/>
        <w:jc w:val="both"/>
      </w:pPr>
      <w:r>
        <w:t>Оформление годового отчета осуществляется в соответствии с требованиями Инструкции по организации д</w:t>
      </w:r>
      <w:r w:rsidR="007372F1">
        <w:t>елопроизводства в Контрольно-сче</w:t>
      </w:r>
      <w:r w:rsidR="00BA1A90">
        <w:t>тной палате</w:t>
      </w:r>
      <w:r>
        <w:t xml:space="preserve"> </w:t>
      </w:r>
      <w:r w:rsidR="00BA1A90">
        <w:t>Крестецкого муниципального округа</w:t>
      </w:r>
      <w:r w:rsidR="00F21103">
        <w:t>, утвержденной приказом председателя от 1</w:t>
      </w:r>
      <w:r w:rsidR="007372F1">
        <w:t>8</w:t>
      </w:r>
      <w:r w:rsidR="00F21103">
        <w:t>.0</w:t>
      </w:r>
      <w:r w:rsidR="007372F1">
        <w:t>1.20</w:t>
      </w:r>
      <w:r w:rsidR="00F21103">
        <w:t>2</w:t>
      </w:r>
      <w:r w:rsidR="007372F1">
        <w:t>4 № 9</w:t>
      </w:r>
      <w:r w:rsidR="00F21103">
        <w:t>.</w:t>
      </w:r>
    </w:p>
    <w:p w:rsidR="003A1998" w:rsidRDefault="00B22D8F" w:rsidP="00CD17FA">
      <w:pPr>
        <w:pStyle w:val="1"/>
        <w:numPr>
          <w:ilvl w:val="1"/>
          <w:numId w:val="2"/>
        </w:numPr>
        <w:tabs>
          <w:tab w:val="left" w:pos="1331"/>
        </w:tabs>
        <w:ind w:firstLine="743"/>
        <w:jc w:val="both"/>
      </w:pPr>
      <w:r>
        <w:t xml:space="preserve">Структура годового отчета включает следующие разделы: </w:t>
      </w:r>
    </w:p>
    <w:p w:rsidR="003A1998" w:rsidRDefault="000A039D" w:rsidP="00CD17FA">
      <w:pPr>
        <w:pStyle w:val="1"/>
        <w:numPr>
          <w:ilvl w:val="0"/>
          <w:numId w:val="8"/>
        </w:numPr>
        <w:tabs>
          <w:tab w:val="left" w:pos="1331"/>
        </w:tabs>
        <w:ind w:left="0" w:firstLine="743"/>
        <w:jc w:val="both"/>
      </w:pPr>
      <w:r>
        <w:t>Общие положения</w:t>
      </w:r>
      <w:r w:rsidR="00E625C1">
        <w:t>.</w:t>
      </w:r>
    </w:p>
    <w:p w:rsidR="00CD17FA" w:rsidRDefault="000A039D" w:rsidP="000A039D">
      <w:pPr>
        <w:pStyle w:val="1"/>
        <w:tabs>
          <w:tab w:val="left" w:pos="1331"/>
        </w:tabs>
        <w:ind w:firstLine="743"/>
        <w:jc w:val="both"/>
      </w:pPr>
      <w:r>
        <w:t>2)  Контрольная и экспе</w:t>
      </w:r>
      <w:r w:rsidR="00E625C1">
        <w:t>ртно-аналитическая деятельность.</w:t>
      </w:r>
    </w:p>
    <w:p w:rsidR="000A039D" w:rsidRDefault="000A039D" w:rsidP="000A039D">
      <w:pPr>
        <w:pStyle w:val="1"/>
        <w:tabs>
          <w:tab w:val="left" w:pos="1331"/>
        </w:tabs>
        <w:ind w:firstLine="709"/>
        <w:jc w:val="both"/>
      </w:pPr>
      <w:r>
        <w:t xml:space="preserve"> 3) Деятельность по противодействию коррупции</w:t>
      </w:r>
      <w:r w:rsidR="00E625C1">
        <w:t>.</w:t>
      </w:r>
    </w:p>
    <w:p w:rsidR="00FD19F5" w:rsidRDefault="000A039D" w:rsidP="000A039D">
      <w:pPr>
        <w:pStyle w:val="1"/>
        <w:tabs>
          <w:tab w:val="left" w:pos="1331"/>
        </w:tabs>
        <w:ind w:firstLine="709"/>
        <w:jc w:val="both"/>
      </w:pPr>
      <w:r>
        <w:t xml:space="preserve"> 4) </w:t>
      </w:r>
      <w:r w:rsidR="00B22D8F">
        <w:t xml:space="preserve">Взаимодействие с </w:t>
      </w:r>
      <w:r>
        <w:t>органами внешнего финансового контроля</w:t>
      </w:r>
      <w:r w:rsidR="00B22D8F">
        <w:t xml:space="preserve"> и иными органами. </w:t>
      </w:r>
    </w:p>
    <w:p w:rsidR="00CD17FA" w:rsidRDefault="000A039D" w:rsidP="00CD17FA">
      <w:pPr>
        <w:pStyle w:val="1"/>
        <w:tabs>
          <w:tab w:val="left" w:pos="1331"/>
        </w:tabs>
        <w:ind w:firstLine="740"/>
        <w:jc w:val="both"/>
      </w:pPr>
      <w:r>
        <w:t xml:space="preserve"> 5) Обеспечение принципа гласности в </w:t>
      </w:r>
      <w:r w:rsidR="00E625C1">
        <w:t>деятельности.</w:t>
      </w:r>
    </w:p>
    <w:p w:rsidR="00E625C1" w:rsidRDefault="00E625C1" w:rsidP="00CD17FA">
      <w:pPr>
        <w:pStyle w:val="1"/>
        <w:tabs>
          <w:tab w:val="left" w:pos="1331"/>
        </w:tabs>
        <w:ind w:firstLine="740"/>
        <w:jc w:val="both"/>
      </w:pPr>
      <w:r>
        <w:t xml:space="preserve"> 6) Обеспечение деятельности.</w:t>
      </w:r>
    </w:p>
    <w:p w:rsidR="00C27DCB" w:rsidRDefault="00B22D8F" w:rsidP="00CD17FA">
      <w:pPr>
        <w:pStyle w:val="1"/>
        <w:tabs>
          <w:tab w:val="left" w:pos="1331"/>
        </w:tabs>
        <w:ind w:firstLine="740"/>
        <w:jc w:val="both"/>
      </w:pPr>
      <w:r>
        <w:t>Дополнительная информация к годовому отчету при необходимости может быть представлена в виде аналитических таблиц, графиков и диаграмм</w:t>
      </w:r>
      <w:r w:rsidR="00960EAC">
        <w:t>.</w:t>
      </w:r>
    </w:p>
    <w:p w:rsidR="00FD19F5" w:rsidRDefault="00FD19F5" w:rsidP="00CD17FA">
      <w:pPr>
        <w:pStyle w:val="1"/>
        <w:tabs>
          <w:tab w:val="left" w:pos="1331"/>
        </w:tabs>
        <w:ind w:left="740" w:firstLine="0"/>
      </w:pPr>
    </w:p>
    <w:p w:rsidR="00C27DCB" w:rsidRDefault="00CD17FA">
      <w:pPr>
        <w:pStyle w:val="11"/>
        <w:keepNext/>
        <w:keepLines/>
        <w:numPr>
          <w:ilvl w:val="0"/>
          <w:numId w:val="2"/>
        </w:numPr>
        <w:tabs>
          <w:tab w:val="left" w:pos="327"/>
        </w:tabs>
      </w:pPr>
      <w:r>
        <w:lastRenderedPageBreak/>
        <w:t>Общие требования к представлению документов и материалов для формирования годового отчета</w:t>
      </w:r>
    </w:p>
    <w:p w:rsidR="00C27DCB" w:rsidRDefault="004E496A" w:rsidP="004E496A">
      <w:pPr>
        <w:pStyle w:val="1"/>
        <w:numPr>
          <w:ilvl w:val="1"/>
          <w:numId w:val="2"/>
        </w:numPr>
        <w:tabs>
          <w:tab w:val="left" w:pos="1331"/>
        </w:tabs>
        <w:ind w:firstLine="740"/>
        <w:jc w:val="both"/>
      </w:pPr>
      <w:r>
        <w:t xml:space="preserve">Учет количества проведенных контрольных и экспертно-аналитических мероприятий осуществляется по исполненным пунктам плана работы КСО. В годовых отчетах приводятся данные только по завершенным контрольным и экспертно-аналитическим мероприятиям Контрольные и экспертно-аналитические мероприятия учитываются раздельно. Информация по выявленным нарушениям </w:t>
      </w:r>
      <w:r w:rsidR="00E625C1">
        <w:t xml:space="preserve">включается </w:t>
      </w:r>
      <w:r>
        <w:t>в годовой отчет о деятельности КСО только на основании утвержденного отчета о результатах контрольного мероприятия или заключения по результатам экспертно-аналитического мероприятия</w:t>
      </w:r>
      <w:r w:rsidR="00960EAC">
        <w:t>.</w:t>
      </w:r>
    </w:p>
    <w:p w:rsidR="00C27DCB" w:rsidRDefault="00960EAC">
      <w:pPr>
        <w:pStyle w:val="1"/>
        <w:numPr>
          <w:ilvl w:val="1"/>
          <w:numId w:val="2"/>
        </w:numPr>
        <w:tabs>
          <w:tab w:val="left" w:pos="1331"/>
        </w:tabs>
        <w:ind w:firstLine="740"/>
        <w:jc w:val="both"/>
      </w:pPr>
      <w:r>
        <w:t>П</w:t>
      </w:r>
      <w:r w:rsidR="004E496A">
        <w:t>ри</w:t>
      </w:r>
      <w:r>
        <w:t xml:space="preserve"> </w:t>
      </w:r>
      <w:r w:rsidR="004E496A">
        <w:t>определении количества проверенных объектов в качестве объекта проверки учитывается организация (юридические лицо), в которой в отчетном периоде были проведены</w:t>
      </w:r>
      <w:r w:rsidR="00175D30">
        <w:t xml:space="preserve"> контрольные мероприятия и по их результатам составлен акт. </w:t>
      </w:r>
      <w:r w:rsidR="00273394">
        <w:t xml:space="preserve"> </w:t>
      </w:r>
    </w:p>
    <w:p w:rsidR="00C27DCB" w:rsidRDefault="00175D30" w:rsidP="00A44367">
      <w:pPr>
        <w:pStyle w:val="1"/>
        <w:numPr>
          <w:ilvl w:val="1"/>
          <w:numId w:val="2"/>
        </w:numPr>
        <w:tabs>
          <w:tab w:val="left" w:pos="1331"/>
        </w:tabs>
        <w:ind w:firstLine="740"/>
        <w:jc w:val="both"/>
      </w:pPr>
      <w:r>
        <w:t>При определении</w:t>
      </w:r>
      <w:r w:rsidR="00960EAC">
        <w:t xml:space="preserve"> </w:t>
      </w:r>
      <w:r w:rsidR="00A44367">
        <w:t>общего объема проверенных средств учитываются бюджетные средства и внебюджетные источники, находящиеся в распоряжении объекта контроля.</w:t>
      </w:r>
    </w:p>
    <w:p w:rsidR="00C27DCB" w:rsidRDefault="00A44367" w:rsidP="00A44367">
      <w:pPr>
        <w:pStyle w:val="1"/>
        <w:numPr>
          <w:ilvl w:val="1"/>
          <w:numId w:val="2"/>
        </w:numPr>
        <w:tabs>
          <w:tab w:val="left" w:pos="1296"/>
        </w:tabs>
        <w:ind w:firstLine="740"/>
        <w:jc w:val="both"/>
      </w:pPr>
      <w:r>
        <w:t>При формировании годового отчета при необходимости направляются запросы в проверенные в течение отчетного года органы и организации для уточнения информации о принятых мерах по устранению нарушений, выявленных в ходе контрольного мероприятия.</w:t>
      </w:r>
    </w:p>
    <w:p w:rsidR="00A44367" w:rsidRDefault="00A44367" w:rsidP="00A44367">
      <w:pPr>
        <w:pStyle w:val="1"/>
        <w:numPr>
          <w:ilvl w:val="1"/>
          <w:numId w:val="2"/>
        </w:numPr>
        <w:tabs>
          <w:tab w:val="left" w:pos="1296"/>
        </w:tabs>
        <w:ind w:firstLine="740"/>
        <w:jc w:val="both"/>
      </w:pPr>
      <w:r>
        <w:t xml:space="preserve">Все данные в годовом отчете приводятся строго за отчетный период (с 1 января по 31 декабря отчетного года). </w:t>
      </w:r>
    </w:p>
    <w:p w:rsidR="00A44367" w:rsidRDefault="00A44367" w:rsidP="00A44367">
      <w:pPr>
        <w:pStyle w:val="1"/>
        <w:tabs>
          <w:tab w:val="left" w:pos="1296"/>
        </w:tabs>
        <w:ind w:firstLine="709"/>
        <w:jc w:val="both"/>
      </w:pPr>
      <w:r>
        <w:t>При формировании годового отчета</w:t>
      </w:r>
      <w:r w:rsidR="00AA7463">
        <w:t xml:space="preserve"> для проведения сравнительного анализа</w:t>
      </w:r>
      <w:r>
        <w:t xml:space="preserve"> используются информационные и табличные материалы и иные материалы в формах, отражающих наиболее существенные итоги проведенных КСО мероприятий, в том числе в динамике за ряд лет.</w:t>
      </w:r>
    </w:p>
    <w:p w:rsidR="00C27DCB" w:rsidRDefault="00152909" w:rsidP="00152909">
      <w:pPr>
        <w:pStyle w:val="1"/>
        <w:numPr>
          <w:ilvl w:val="1"/>
          <w:numId w:val="2"/>
        </w:numPr>
        <w:tabs>
          <w:tab w:val="left" w:pos="1296"/>
        </w:tabs>
        <w:ind w:firstLine="743"/>
        <w:jc w:val="both"/>
      </w:pPr>
      <w:r>
        <w:t>В отчете указываются суммы (в тысячах рублей, с точностью до первого десятичного знака после запятой) выявленных и возмещенных средств за нарушения, обнаруженные в результате проведенных мероприятий КСО в течение отчетного периода.</w:t>
      </w:r>
    </w:p>
    <w:p w:rsidR="00152909" w:rsidRDefault="00152909" w:rsidP="00152909">
      <w:pPr>
        <w:pStyle w:val="1"/>
        <w:numPr>
          <w:ilvl w:val="1"/>
          <w:numId w:val="2"/>
        </w:numPr>
        <w:tabs>
          <w:tab w:val="left" w:pos="1296"/>
        </w:tabs>
        <w:ind w:firstLine="743"/>
        <w:jc w:val="both"/>
      </w:pPr>
      <w:r>
        <w:t xml:space="preserve">Документы и материалы к формированию годового отчета представляются на бумажном носителе и в электронном виде. </w:t>
      </w:r>
    </w:p>
    <w:p w:rsidR="00152909" w:rsidRDefault="00152909" w:rsidP="00152909">
      <w:pPr>
        <w:pStyle w:val="1"/>
        <w:tabs>
          <w:tab w:val="left" w:pos="1296"/>
        </w:tabs>
        <w:spacing w:after="320"/>
        <w:ind w:left="740" w:firstLine="0"/>
        <w:jc w:val="both"/>
      </w:pPr>
      <w:r>
        <w:t>Объем годового отчета не ограничен.</w:t>
      </w:r>
    </w:p>
    <w:p w:rsidR="00152909" w:rsidRDefault="00152909" w:rsidP="00152909">
      <w:pPr>
        <w:pStyle w:val="a6"/>
        <w:numPr>
          <w:ilvl w:val="0"/>
          <w:numId w:val="2"/>
        </w:numPr>
        <w:spacing w:after="0"/>
        <w:jc w:val="center"/>
        <w:rPr>
          <w:b/>
          <w:sz w:val="28"/>
          <w:szCs w:val="28"/>
        </w:rPr>
      </w:pPr>
      <w:r w:rsidRPr="00152909">
        <w:rPr>
          <w:b/>
          <w:sz w:val="28"/>
          <w:szCs w:val="28"/>
        </w:rPr>
        <w:t>Порядок подготовки, утверждения и опубликования годового отчета</w:t>
      </w:r>
    </w:p>
    <w:p w:rsidR="00152909" w:rsidRPr="00152909" w:rsidRDefault="00152909" w:rsidP="00152909">
      <w:pPr>
        <w:pStyle w:val="a6"/>
        <w:spacing w:after="0"/>
        <w:rPr>
          <w:b/>
          <w:sz w:val="28"/>
          <w:szCs w:val="28"/>
        </w:rPr>
      </w:pPr>
    </w:p>
    <w:p w:rsidR="00AA1723" w:rsidRDefault="00AA1723" w:rsidP="00413BFC">
      <w:pPr>
        <w:pStyle w:val="1"/>
        <w:numPr>
          <w:ilvl w:val="1"/>
          <w:numId w:val="2"/>
        </w:numPr>
        <w:tabs>
          <w:tab w:val="left" w:pos="1397"/>
        </w:tabs>
        <w:ind w:firstLine="560"/>
        <w:jc w:val="both"/>
      </w:pPr>
      <w:r>
        <w:t>Формирование годового отчета о деятельности КСО за отчетный финансовый год осуществляется в течение 1 квартала года, следующего за отчетным.</w:t>
      </w:r>
    </w:p>
    <w:p w:rsidR="00C27DCB" w:rsidRDefault="00413BFC" w:rsidP="00413BFC">
      <w:pPr>
        <w:pStyle w:val="1"/>
        <w:numPr>
          <w:ilvl w:val="1"/>
          <w:numId w:val="2"/>
        </w:numPr>
        <w:tabs>
          <w:tab w:val="left" w:pos="1397"/>
        </w:tabs>
        <w:ind w:firstLine="560"/>
        <w:jc w:val="both"/>
      </w:pPr>
      <w:r>
        <w:t xml:space="preserve">Годовой отчет формируется председателем КСО (должностным лицом КСО, </w:t>
      </w:r>
      <w:r w:rsidR="00AA1723">
        <w:t xml:space="preserve">ответственным за его подготовку и  </w:t>
      </w:r>
      <w:r>
        <w:t>назначенным председателем)</w:t>
      </w:r>
      <w:r w:rsidR="00AA1723">
        <w:t>.</w:t>
      </w:r>
    </w:p>
    <w:p w:rsidR="00AA1723" w:rsidRDefault="00AA1723" w:rsidP="00413BFC">
      <w:pPr>
        <w:pStyle w:val="1"/>
        <w:numPr>
          <w:ilvl w:val="1"/>
          <w:numId w:val="2"/>
        </w:numPr>
        <w:tabs>
          <w:tab w:val="left" w:pos="1397"/>
        </w:tabs>
        <w:ind w:firstLine="560"/>
        <w:jc w:val="both"/>
      </w:pPr>
      <w:r>
        <w:lastRenderedPageBreak/>
        <w:t>Сформированный годовой отчет утверждается председателем КСО и направляется в представител</w:t>
      </w:r>
      <w:r w:rsidR="00CE1854">
        <w:t>ьный орган муниципального округ</w:t>
      </w:r>
      <w:r w:rsidR="00273394">
        <w:t>а</w:t>
      </w:r>
      <w:r>
        <w:t xml:space="preserve"> </w:t>
      </w:r>
      <w:r w:rsidR="00273394">
        <w:t xml:space="preserve">для рассмотрения </w:t>
      </w:r>
      <w:r>
        <w:t xml:space="preserve">в срок не позднее 1 мая текущего года. </w:t>
      </w:r>
    </w:p>
    <w:p w:rsidR="00AA1723" w:rsidRDefault="00AA1723" w:rsidP="00413BFC">
      <w:pPr>
        <w:pStyle w:val="1"/>
        <w:numPr>
          <w:ilvl w:val="1"/>
          <w:numId w:val="2"/>
        </w:numPr>
        <w:tabs>
          <w:tab w:val="left" w:pos="1397"/>
        </w:tabs>
        <w:ind w:firstLine="560"/>
        <w:jc w:val="both"/>
      </w:pPr>
      <w:r>
        <w:t>Представление отчета в представите</w:t>
      </w:r>
      <w:r w:rsidR="00273394">
        <w:t>льный орган муниципального округ</w:t>
      </w:r>
      <w:r>
        <w:t xml:space="preserve">а осуществляется председателем КСО. </w:t>
      </w:r>
    </w:p>
    <w:p w:rsidR="00AA1723" w:rsidRDefault="00AA1723" w:rsidP="00413BFC">
      <w:pPr>
        <w:pStyle w:val="1"/>
        <w:numPr>
          <w:ilvl w:val="1"/>
          <w:numId w:val="2"/>
        </w:numPr>
        <w:tabs>
          <w:tab w:val="left" w:pos="1397"/>
        </w:tabs>
        <w:ind w:firstLine="560"/>
        <w:jc w:val="both"/>
      </w:pPr>
      <w:r>
        <w:t>После рассмотрения представитель</w:t>
      </w:r>
      <w:r w:rsidR="00273394">
        <w:t>ным органом муниципального округ</w:t>
      </w:r>
      <w:r>
        <w:t>а годовой отчет размещается в информационно-телекоммуникационной сети Интернет на официальном сайте Ад</w:t>
      </w:r>
      <w:r w:rsidR="00273394">
        <w:t>министрации муниципального округ</w:t>
      </w:r>
      <w:r>
        <w:t>а по адресу</w:t>
      </w:r>
      <w:r w:rsidR="005E48DC">
        <w:t xml:space="preserve">: </w:t>
      </w:r>
      <w:hyperlink r:id="rId10" w:history="1">
        <w:r w:rsidR="00273394" w:rsidRPr="00D40357">
          <w:rPr>
            <w:rStyle w:val="a8"/>
          </w:rPr>
          <w:t>https://adm-krestcy.ru/</w:t>
        </w:r>
      </w:hyperlink>
      <w:r w:rsidR="00273394">
        <w:t xml:space="preserve"> </w:t>
      </w:r>
      <w:r w:rsidR="00D313B6">
        <w:t xml:space="preserve">в десятидневный срок </w:t>
      </w:r>
      <w:r w:rsidR="00273394">
        <w:t>на странице «Контрольно-счетная палата</w:t>
      </w:r>
      <w:r w:rsidR="005E48DC">
        <w:t xml:space="preserve"> Крестецк</w:t>
      </w:r>
      <w:r w:rsidR="00273394">
        <w:t>ого муниципального округа»</w:t>
      </w:r>
      <w:r>
        <w:t>.</w:t>
      </w:r>
    </w:p>
    <w:sectPr w:rsidR="00AA1723" w:rsidSect="00C27DCB">
      <w:pgSz w:w="11900" w:h="16840"/>
      <w:pgMar w:top="1311" w:right="814" w:bottom="1119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D6" w:rsidRDefault="00570AD6" w:rsidP="00C27DCB">
      <w:r>
        <w:separator/>
      </w:r>
    </w:p>
  </w:endnote>
  <w:endnote w:type="continuationSeparator" w:id="1">
    <w:p w:rsidR="00570AD6" w:rsidRDefault="00570AD6" w:rsidP="00C2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D6" w:rsidRDefault="00570AD6"/>
  </w:footnote>
  <w:footnote w:type="continuationSeparator" w:id="1">
    <w:p w:rsidR="00570AD6" w:rsidRDefault="00570A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CB" w:rsidRDefault="00D6325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3pt;margin-top:38.9pt;width:12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27DCB" w:rsidRDefault="00D63258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CE1854" w:rsidRPr="00CE1854">
                    <w:rPr>
                      <w:noProof/>
                      <w:sz w:val="28"/>
                      <w:szCs w:val="28"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CB" w:rsidRDefault="00C27DC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66B"/>
    <w:multiLevelType w:val="multilevel"/>
    <w:tmpl w:val="8A0430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A7B0E"/>
    <w:multiLevelType w:val="multilevel"/>
    <w:tmpl w:val="39F03C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01F00"/>
    <w:multiLevelType w:val="multilevel"/>
    <w:tmpl w:val="014AE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74331"/>
    <w:multiLevelType w:val="multilevel"/>
    <w:tmpl w:val="02386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C3821"/>
    <w:multiLevelType w:val="hybridMultilevel"/>
    <w:tmpl w:val="E5A23E44"/>
    <w:lvl w:ilvl="0" w:tplc="0058B03E">
      <w:start w:val="1"/>
      <w:numFmt w:val="decimal"/>
      <w:lvlText w:val="%1)"/>
      <w:lvlJc w:val="left"/>
      <w:pPr>
        <w:ind w:left="2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6" w:hanging="360"/>
      </w:pPr>
    </w:lvl>
    <w:lvl w:ilvl="2" w:tplc="0419001B" w:tentative="1">
      <w:start w:val="1"/>
      <w:numFmt w:val="lowerRoman"/>
      <w:lvlText w:val="%3."/>
      <w:lvlJc w:val="right"/>
      <w:pPr>
        <w:ind w:left="3956" w:hanging="180"/>
      </w:pPr>
    </w:lvl>
    <w:lvl w:ilvl="3" w:tplc="0419000F" w:tentative="1">
      <w:start w:val="1"/>
      <w:numFmt w:val="decimal"/>
      <w:lvlText w:val="%4."/>
      <w:lvlJc w:val="left"/>
      <w:pPr>
        <w:ind w:left="4676" w:hanging="360"/>
      </w:pPr>
    </w:lvl>
    <w:lvl w:ilvl="4" w:tplc="04190019" w:tentative="1">
      <w:start w:val="1"/>
      <w:numFmt w:val="lowerLetter"/>
      <w:lvlText w:val="%5."/>
      <w:lvlJc w:val="left"/>
      <w:pPr>
        <w:ind w:left="5396" w:hanging="360"/>
      </w:pPr>
    </w:lvl>
    <w:lvl w:ilvl="5" w:tplc="0419001B" w:tentative="1">
      <w:start w:val="1"/>
      <w:numFmt w:val="lowerRoman"/>
      <w:lvlText w:val="%6."/>
      <w:lvlJc w:val="right"/>
      <w:pPr>
        <w:ind w:left="6116" w:hanging="180"/>
      </w:pPr>
    </w:lvl>
    <w:lvl w:ilvl="6" w:tplc="0419000F" w:tentative="1">
      <w:start w:val="1"/>
      <w:numFmt w:val="decimal"/>
      <w:lvlText w:val="%7."/>
      <w:lvlJc w:val="left"/>
      <w:pPr>
        <w:ind w:left="6836" w:hanging="360"/>
      </w:pPr>
    </w:lvl>
    <w:lvl w:ilvl="7" w:tplc="04190019" w:tentative="1">
      <w:start w:val="1"/>
      <w:numFmt w:val="lowerLetter"/>
      <w:lvlText w:val="%8."/>
      <w:lvlJc w:val="left"/>
      <w:pPr>
        <w:ind w:left="7556" w:hanging="360"/>
      </w:pPr>
    </w:lvl>
    <w:lvl w:ilvl="8" w:tplc="041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5">
    <w:nsid w:val="5C0459B1"/>
    <w:multiLevelType w:val="multilevel"/>
    <w:tmpl w:val="67FA52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A65CD3"/>
    <w:multiLevelType w:val="multilevel"/>
    <w:tmpl w:val="98EADD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C95BAD"/>
    <w:multiLevelType w:val="multilevel"/>
    <w:tmpl w:val="6C72B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27DCB"/>
    <w:rsid w:val="00036658"/>
    <w:rsid w:val="00062298"/>
    <w:rsid w:val="000A039D"/>
    <w:rsid w:val="000A3D6B"/>
    <w:rsid w:val="000B2247"/>
    <w:rsid w:val="00152909"/>
    <w:rsid w:val="001533C8"/>
    <w:rsid w:val="00175D30"/>
    <w:rsid w:val="00215A33"/>
    <w:rsid w:val="0022766F"/>
    <w:rsid w:val="00273394"/>
    <w:rsid w:val="002B17FD"/>
    <w:rsid w:val="002D3CCA"/>
    <w:rsid w:val="002D4CD1"/>
    <w:rsid w:val="00323FCE"/>
    <w:rsid w:val="003466F5"/>
    <w:rsid w:val="003A1998"/>
    <w:rsid w:val="003F2252"/>
    <w:rsid w:val="00413BFC"/>
    <w:rsid w:val="00456301"/>
    <w:rsid w:val="004E496A"/>
    <w:rsid w:val="00570AD6"/>
    <w:rsid w:val="005E48DC"/>
    <w:rsid w:val="006507BB"/>
    <w:rsid w:val="0068289B"/>
    <w:rsid w:val="00684881"/>
    <w:rsid w:val="007372F1"/>
    <w:rsid w:val="007405F0"/>
    <w:rsid w:val="007C6669"/>
    <w:rsid w:val="00843F8A"/>
    <w:rsid w:val="00863EE5"/>
    <w:rsid w:val="00924D56"/>
    <w:rsid w:val="0093699F"/>
    <w:rsid w:val="00960EAC"/>
    <w:rsid w:val="0096159F"/>
    <w:rsid w:val="009A4911"/>
    <w:rsid w:val="009D0D05"/>
    <w:rsid w:val="00A0015B"/>
    <w:rsid w:val="00A44367"/>
    <w:rsid w:val="00AA1723"/>
    <w:rsid w:val="00AA7463"/>
    <w:rsid w:val="00AD0BB9"/>
    <w:rsid w:val="00B22D8F"/>
    <w:rsid w:val="00B311AE"/>
    <w:rsid w:val="00B7137C"/>
    <w:rsid w:val="00B93EA7"/>
    <w:rsid w:val="00BA1A90"/>
    <w:rsid w:val="00BC3899"/>
    <w:rsid w:val="00BD5A70"/>
    <w:rsid w:val="00C05E60"/>
    <w:rsid w:val="00C27DCB"/>
    <w:rsid w:val="00CD17FA"/>
    <w:rsid w:val="00CE1854"/>
    <w:rsid w:val="00D313B6"/>
    <w:rsid w:val="00D63258"/>
    <w:rsid w:val="00E625C1"/>
    <w:rsid w:val="00EA3BE9"/>
    <w:rsid w:val="00F21103"/>
    <w:rsid w:val="00FD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D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27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C27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C27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C27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C27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C27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C27DCB"/>
    <w:pPr>
      <w:spacing w:after="9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C27DC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27DCB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C27DC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C27DCB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C27DCB"/>
    <w:pPr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3F2252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rsid w:val="003F2252"/>
    <w:rPr>
      <w:rFonts w:ascii="Times New Roman" w:eastAsia="Times New Roman" w:hAnsi="Times New Roman" w:cs="Times New Roman"/>
      <w:lang w:bidi="ar-SA"/>
    </w:rPr>
  </w:style>
  <w:style w:type="character" w:styleId="a8">
    <w:name w:val="Hyperlink"/>
    <w:basedOn w:val="a0"/>
    <w:uiPriority w:val="99"/>
    <w:unhideWhenUsed/>
    <w:rsid w:val="002733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-krestc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02BB-765A-420F-93B5-4FF87A69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БРЯНСКОЙ ОБЛАСТИ</vt:lpstr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БРЯНСКОЙ ОБЛАСТИ</dc:title>
  <dc:subject/>
  <dc:creator>COMP</dc:creator>
  <cp:keywords/>
  <cp:lastModifiedBy>ksk</cp:lastModifiedBy>
  <cp:revision>40</cp:revision>
  <cp:lastPrinted>2025-01-14T09:49:00Z</cp:lastPrinted>
  <dcterms:created xsi:type="dcterms:W3CDTF">2023-07-06T07:34:00Z</dcterms:created>
  <dcterms:modified xsi:type="dcterms:W3CDTF">2025-01-14T09:53:00Z</dcterms:modified>
</cp:coreProperties>
</file>